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7f7f7f" w:val="clear"/>
        <w:jc w:val="center"/>
        <w:rPr>
          <w:b w:val="1"/>
          <w:color w:val="ffc000"/>
        </w:rPr>
      </w:pPr>
      <w:r w:rsidDel="00000000" w:rsidR="00000000" w:rsidRPr="00000000">
        <w:rPr>
          <w:b w:val="1"/>
          <w:color w:val="ffc000"/>
          <w:rtl w:val="0"/>
        </w:rPr>
        <w:t xml:space="preserve">MODULE 1. SHARE</w:t>
      </w:r>
    </w:p>
    <w:p w:rsidR="00000000" w:rsidDel="00000000" w:rsidP="00000000" w:rsidRDefault="00000000" w:rsidRPr="00000000" w14:paraId="00000002">
      <w:pPr>
        <w:pStyle w:val="Heading1"/>
        <w:shd w:fill="7f7f7f" w:val="clear"/>
        <w:jc w:val="center"/>
        <w:rPr/>
      </w:pPr>
      <w:r w:rsidDel="00000000" w:rsidR="00000000" w:rsidRPr="00000000">
        <w:rPr>
          <w:b w:val="1"/>
          <w:color w:val="ffc000"/>
          <w:rtl w:val="0"/>
        </w:rPr>
        <w:t xml:space="preserve">SKILLS PRACTICE: CALCULATING THE SHARE OF THE BUDGET/GDP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2cc" w:val="clear"/>
        <w:ind w:left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Aim of exercise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2cc" w:val="clear"/>
        <w:ind w:left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To practise analysing the share of the total budget that goes to education over a period of four years and how education is prioritised within the budget - to gain skills to apply to their own budget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c000" w:val="clear"/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 Activity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Using the practice budget below, users calculate what percentage of the total budget goes to education over the four spending years (2019-2022). They can then relate this to GDP. The skills gained in this “practice” exercise can then be used to carry out a similar exercise with their own country’s budget.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Step 1</w:t>
      </w:r>
      <w:r w:rsidDel="00000000" w:rsidR="00000000" w:rsidRPr="00000000">
        <w:rPr>
          <w:rtl w:val="0"/>
        </w:rPr>
        <w:t xml:space="preserve">: Identify the total amount the government had available for public spending each year (row 5 in table above).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Step 2</w:t>
      </w:r>
      <w:r w:rsidDel="00000000" w:rsidR="00000000" w:rsidRPr="00000000">
        <w:rPr>
          <w:rtl w:val="0"/>
        </w:rPr>
        <w:t xml:space="preserve">: Find out the total amount allocated to the education sector (row 1 in table above).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Use the amounts arrived at in steps 1 and 2 to calculate the percentage of total expenditure allocated to education each year. Fill in the percentage in row 7.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666666"/>
          <w:sz w:val="18"/>
          <w:szCs w:val="18"/>
        </w:rPr>
      </w:pPr>
      <w:r w:rsidDel="00000000" w:rsidR="00000000" w:rsidRPr="00000000">
        <w:rPr>
          <w:i w:val="1"/>
          <w:color w:val="666666"/>
          <w:sz w:val="18"/>
          <w:szCs w:val="18"/>
          <w:rtl w:val="0"/>
        </w:rPr>
        <w:t xml:space="preserve">N.B make sure you are comparing like-with-like by using either the nominal OR the real figures for both education and total expenditure – don’t mix up the nominal amounts with the real when comparing the share.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ab/>
        <w:t xml:space="preserve"> </w:t>
        <w:tab/>
        <w:t xml:space="preserve">Education spending in year 1 </w:t>
      </w:r>
    </w:p>
    <w:p w:rsidR="00000000" w:rsidDel="00000000" w:rsidP="00000000" w:rsidRDefault="00000000" w:rsidRPr="00000000" w14:paraId="00000011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                 ------------------------------                x 100  </w:t>
        <w:tab/>
      </w:r>
    </w:p>
    <w:p w:rsidR="00000000" w:rsidDel="00000000" w:rsidP="00000000" w:rsidRDefault="00000000" w:rsidRPr="00000000" w14:paraId="00000012">
      <w:pPr>
        <w:ind w:left="72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Total spending in year 1</w:t>
      </w:r>
    </w:p>
    <w:p w:rsidR="00000000" w:rsidDel="00000000" w:rsidP="00000000" w:rsidRDefault="00000000" w:rsidRPr="00000000" w14:paraId="00000013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Now do the same calculations for your own national budget.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 work out if spending on a specific sub-programme (e.g., disability spending in primary education) or sub-levels (e.g., secondary education) has grown or shrunk over a specified number of years, in nominal and/or real terms, do the following: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Decide over which period of years you would like to compare spending on the chosen education policy or sub-sector;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each of these years, record the amount spent;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Apply the formula above to calculate share spent on education;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Now calculate the education spending as a percentage of GDP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Find out the GDP figure for each year (row 8 in table above).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Find out the total amount allocated to the education sector each year (row 1 in table above).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With the figures arrived at in steps 1 and 2 use the formula below to calculate education spending as a percentage of GDP. Fill in the percentage in row 9.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Education spending in year 1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-----------------------                      x 100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GDP in year 1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Now do the same calculations for your own national budget. GDP figures for a given year can be found in budget documents, or from the Ministry of Finance (or statistics office etc.). Remember, assessing budget figures as a share of the economy (GDP) over time implicitly adjusts for inflation, because inflation is reflected in both the nominal budget figure and the nominal GDP figure.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>
          <w:b w:val="1"/>
          <w:color w:val="ffc000"/>
        </w:rPr>
      </w:pPr>
      <w:r w:rsidDel="00000000" w:rsidR="00000000" w:rsidRPr="00000000">
        <w:rPr>
          <w:b w:val="1"/>
          <w:color w:val="ffc000"/>
          <w:rtl w:val="0"/>
        </w:rPr>
        <w:t xml:space="preserve">PRACTICE BUDGET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ffc000" w:space="0" w:sz="4" w:val="single"/>
          <w:left w:color="ffc000" w:space="0" w:sz="4" w:val="single"/>
          <w:bottom w:color="ffc000" w:space="0" w:sz="4" w:val="single"/>
          <w:right w:color="ffc000" w:space="0" w:sz="4" w:val="single"/>
          <w:insideH w:color="ffc000" w:space="0" w:sz="4" w:val="single"/>
          <w:insideV w:color="ffc000" w:space="0" w:sz="4" w:val="single"/>
        </w:tblBorders>
        <w:tblLayout w:type="fixed"/>
        <w:tblLook w:val="0400"/>
      </w:tblPr>
      <w:tblGrid>
        <w:gridCol w:w="283"/>
        <w:gridCol w:w="1699"/>
        <w:gridCol w:w="1286"/>
        <w:gridCol w:w="1417"/>
        <w:gridCol w:w="1841"/>
        <w:gridCol w:w="2500"/>
        <w:tblGridChange w:id="0">
          <w:tblGrid>
            <w:gridCol w:w="283"/>
            <w:gridCol w:w="1699"/>
            <w:gridCol w:w="1286"/>
            <w:gridCol w:w="1417"/>
            <w:gridCol w:w="1841"/>
            <w:gridCol w:w="250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7c7b7b" w:val="clear"/>
          </w:tcPr>
          <w:p w:rsidR="00000000" w:rsidDel="00000000" w:rsidP="00000000" w:rsidRDefault="00000000" w:rsidRPr="00000000" w14:paraId="00000027">
            <w:pPr>
              <w:jc w:val="left"/>
              <w:rPr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c7b7b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c7b7b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2f2f2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c7b7b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f2f2f2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2f2f2"/>
                <w:sz w:val="24"/>
                <w:szCs w:val="24"/>
                <w:u w:val="singl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c7b7b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2f2f2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c7b7b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2f2f2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education expenditure (nominal)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F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55,881,000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30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75,386,861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31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106,846,765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32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149,161,000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education expenditure (real)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Growth Rate (real)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Deflator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0.943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1.09515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government</w:t>
            </w:r>
          </w:p>
          <w:p w:rsidR="00000000" w:rsidDel="00000000" w:rsidP="00000000" w:rsidRDefault="00000000" w:rsidRPr="00000000" w14:paraId="00000047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expenditure (nominal)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303,724,000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408,390,000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638,151,000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748,579,000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government expenditure (real)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Education spending as a percentage of total government expenditure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GDP (nominal)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1,422,289,200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1,501,269,100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1,840,972,700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2,000,409,200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shd w:fill="f2f2f2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Education spending as a     percentage of GDP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1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3">
            <w:pPr>
              <w:shd w:fill="f2f2f2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01" w:line="267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  <w:ind w:left="0" w:firstLine="0"/>
      <w:jc w:val="left"/>
    </w:pPr>
    <w:rPr>
      <w:rFonts w:ascii="Calibri" w:cs="Calibri" w:eastAsia="Calibri" w:hAnsi="Calibri"/>
      <w:b w:val="1"/>
      <w:color w:val="70ad47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769F"/>
    <w:pPr>
      <w:spacing w:after="101" w:line="267" w:lineRule="auto"/>
      <w:ind w:left="10" w:hanging="10"/>
      <w:jc w:val="both"/>
    </w:pPr>
    <w:rPr>
      <w:rFonts w:cs="Arial" w:eastAsia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769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769F"/>
    <w:pPr>
      <w:keepNext w:val="1"/>
      <w:keepLines w:val="1"/>
      <w:spacing w:after="0" w:before="40" w:line="240" w:lineRule="auto"/>
      <w:ind w:left="0" w:firstLine="0"/>
      <w:jc w:val="left"/>
      <w:outlineLvl w:val="1"/>
    </w:pPr>
    <w:rPr>
      <w:rFonts w:ascii="Calibri" w:hAnsi="Calibri" w:cstheme="majorBidi" w:eastAsiaTheme="majorEastAsia"/>
      <w:b w:val="1"/>
      <w:color w:val="70ad47" w:themeColor="accent6"/>
      <w:sz w:val="40"/>
      <w:szCs w:val="3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80769F"/>
    <w:rPr>
      <w:rFonts w:ascii="Calibri" w:hAnsi="Calibri" w:cstheme="majorBidi" w:eastAsiaTheme="majorEastAsia"/>
      <w:b w:val="1"/>
      <w:color w:val="70ad47" w:themeColor="accent6"/>
      <w:sz w:val="40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80769F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 w:val="1"/>
    <w:rsid w:val="0080769F"/>
    <w:rPr>
      <w:b w:val="1"/>
      <w:bCs w:val="1"/>
    </w:rPr>
  </w:style>
  <w:style w:type="table" w:styleId="TableGrid" w:customStyle="1">
    <w:name w:val="TableGrid"/>
    <w:rsid w:val="0080769F"/>
    <w:pPr>
      <w:spacing w:after="0" w:line="240" w:lineRule="auto"/>
    </w:pPr>
    <w:rPr>
      <w:rFonts w:eastAsiaTheme="minorEastAsia"/>
      <w:lang w:eastAsia="en-GB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8076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7.0" w:type="dxa"/>
        <w:left w:w="0.0" w:type="dxa"/>
        <w:bottom w:w="0.0" w:type="dxa"/>
        <w:right w:w="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TDNTzGx7m7icI1VaUN2nkiLnMw==">AMUW2mVJT0dUd7HdY6afnui1fQn1gOOXPgA9mk8DGbbcRtwG5e/7iOVq5//34nXfEO7csrV3Vv1ajSxGbnlf7x4885A5LWOBGKW8ShaXx8K7ypdot9ChOSI=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2023-02-19T20:30:00Z</dcterms:created>
  <dc:creator>Jo Walker</dc:creator>
</cp:coreProperties>
</file>